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_rels/.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375C290F" wp14:textId="04BA97B8">
      <w:pPr>
        <w:pStyle w:val="Normal0"/>
        <w:keepNext w:val="true"/>
        <w:jc w:val="center"/>
        <w:rPr>
          <w:rFonts w:ascii="Arial" w:hAnsi="Arial" w:eastAsia="Arial" w:cs="Arial"/>
          <w:b w:val="1"/>
          <w:bCs w:val="1"/>
          <w:lang w:val="en-US"/>
        </w:rPr>
      </w:pPr>
      <w:r w:rsidRPr="6DCDFDB1" w:rsidR="6DCDFDB1">
        <w:rPr>
          <w:rFonts w:ascii="Arial" w:hAnsi="Arial"/>
          <w:b w:val="1"/>
          <w:bCs w:val="1"/>
          <w:lang w:val="en-US"/>
        </w:rPr>
        <w:t>KARTA KURSU (realizowanego w specjalności)</w:t>
      </w:r>
    </w:p>
    <w:p xmlns:wp14="http://schemas.microsoft.com/office/word/2010/wordml" w14:paraId="02EB378F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 xmlns:wp14="http://schemas.microsoft.com/office/word/2010/wordml" w14:paraId="6A05A809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 xmlns:wp14="http://schemas.microsoft.com/office/word/2010/wordml" w14:paraId="73C4F23E" wp14:textId="77777777">
      <w:pPr>
        <w:pStyle w:val="Normal0"/>
        <w:jc w:val="center"/>
        <w:rPr>
          <w:rFonts w:ascii="Arial" w:hAnsi="Arial" w:eastAsia="Arial" w:cs="Arial"/>
          <w:lang w:val="en-US"/>
        </w:rPr>
      </w:pPr>
      <w:r>
        <w:rPr>
          <w:rFonts w:ascii="Arial" w:hAnsi="Arial"/>
          <w:b/>
          <w:bCs/>
          <w:lang w:val="en-US"/>
        </w:rPr>
        <w:t>Przekładoznawstwo i technologie tłumaczeniowe</w:t>
      </w:r>
    </w:p>
    <w:p xmlns:wp14="http://schemas.microsoft.com/office/word/2010/wordml" w14:paraId="5A39BBE3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  <w:i/>
          <w:i/>
          <w:iCs/>
          <w:sz w:val="20"/>
          <w:szCs w:val="20"/>
        </w:rPr>
      </w:pPr>
      <w:r>
        <w:rPr>
          <w:rFonts w:ascii="Arial" w:hAnsi="Arial" w:eastAsia="Arial" w:cs="Arial"/>
          <w:b/>
          <w:bCs/>
        </w:rPr>
        <w:tab/>
      </w:r>
      <w:r>
        <w:rPr>
          <w:rFonts w:ascii="Arial" w:hAnsi="Arial" w:eastAsia="Arial" w:cs="Arial"/>
          <w:b/>
          <w:bCs/>
        </w:rPr>
        <w:tab/>
      </w:r>
    </w:p>
    <w:p xmlns:wp14="http://schemas.microsoft.com/office/word/2010/wordml" w14:paraId="1DD52162" wp14:textId="77777777">
      <w:pPr>
        <w:pStyle w:val="Normal0"/>
        <w:keepNext w:val="true"/>
        <w:jc w:val="center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(nazwa specjalności)</w:t>
      </w:r>
    </w:p>
    <w:p xmlns:wp14="http://schemas.microsoft.com/office/word/2010/wordml" w14:paraId="41C8F396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2A3D3E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D0B940D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5F6EFE90" wp14:textId="77777777">
        <w:trPr>
          <w:trHeight w:val="240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0"/>
              <w:widowControl w:val="fals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54A1C981" wp14:textId="77777777">
            <w:pPr>
              <w:pStyle w:val="Domylne"/>
              <w:widowControl w:val="false"/>
              <w:tabs>
                <w:tab w:val="clear" w:pos="709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pacing w:before="0" w:after="0" w:line="100" w:lineRule="atLeast"/>
              <w:jc w:val="center"/>
              <w:rPr>
                <w:rFonts w:eastAsia="Arial Unicode MS"/>
                <w:lang w:eastAsia="pl-PL" w:bidi="ar-SA"/>
              </w:rPr>
            </w:pPr>
            <w:r>
              <w:rPr>
                <w:rFonts w:ascii="Arial" w:hAnsi="Arial" w:eastAsia="Arial Unicode MS"/>
                <w:kern w:val="2"/>
                <w:lang w:val="es-ES" w:eastAsia="pl-PL" w:bidi="ar-SA"/>
              </w:rPr>
              <w:t>Zarządzanie procesem przekładu</w:t>
            </w:r>
          </w:p>
        </w:tc>
      </w:tr>
      <w:tr xmlns:wp14="http://schemas.microsoft.com/office/word/2010/wordml" w14:paraId="54CB4371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0"/>
              <w:widowControl w:val="fals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5C29F3A0" wp14:textId="77777777">
            <w:pPr>
              <w:pStyle w:val="Domylne"/>
              <w:widowControl w:val="false"/>
              <w:tabs>
                <w:tab w:val="clear" w:pos="709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eastAsia="pl-PL" w:bidi="ar-SA"/>
              </w:rPr>
              <w:t>T</w:t>
            </w: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ranslation Managment</w:t>
            </w:r>
          </w:p>
        </w:tc>
      </w:tr>
    </w:tbl>
    <w:p xmlns:wp14="http://schemas.microsoft.com/office/word/2010/wordml" w14:paraId="0E27B00A" wp14:textId="77777777">
      <w:pPr>
        <w:pStyle w:val="Normal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0061E4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EAFD9C" wp14:textId="77777777">
      <w:pPr>
        <w:pStyle w:val="Normal0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5"/>
        <w:gridCol w:w="3194"/>
        <w:gridCol w:w="3266"/>
      </w:tblGrid>
      <w:tr xmlns:wp14="http://schemas.microsoft.com/office/word/2010/wordml" w:rsidTr="5656B54B" w14:paraId="0EB3491A" wp14:textId="77777777">
        <w:trPr>
          <w:trHeight w:val="218" w:hRule="atLeast"/>
        </w:trPr>
        <w:tc>
          <w:tcPr>
            <w:tcW w:w="3185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4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14:paraId="7388A754" wp14:textId="0A24BD9C">
            <w:pPr>
              <w:pStyle w:val="Zawartotabeli"/>
              <w:widowControl w:val="0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 w:rsidRPr="5656B54B" w:rsidR="19D8C3AE">
              <w:rPr>
                <w:rFonts w:ascii="Arial" w:hAnsi="Arial" w:eastAsia="Arial Unicode MS" w:cs="Times New Roman"/>
                <w:sz w:val="20"/>
                <w:szCs w:val="20"/>
                <w:lang w:val="it-IT" w:eastAsia="pl-PL" w:bidi="ar-SA"/>
              </w:rPr>
              <w:t>mgr Weronika Ignas-Madej</w:t>
            </w:r>
          </w:p>
        </w:tc>
        <w:tc>
          <w:tcPr>
            <w:tcW w:w="326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:rsidTr="5656B54B" w14:paraId="7E4FC6EF" wp14:textId="77777777">
        <w:trPr>
          <w:trHeight w:val="276" w:hRule="atLeast"/>
        </w:trPr>
        <w:tc>
          <w:tcPr>
            <w:tcW w:w="318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D5A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C66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</w:tcBorders>
            <w:shd w:val="clear" w:color="auto" w:fill="auto"/>
            <w:tcMar/>
            <w:vAlign w:val="center"/>
          </w:tcPr>
          <w:p w:rsidP="5656B54B" w14:paraId="1821C295" wp14:textId="29AC7011">
            <w:pPr>
              <w:pStyle w:val="Zawartotabeli"/>
              <w:widowControl w:val="0"/>
              <w:spacing w:before="57" w:after="57"/>
              <w:jc w:val="center"/>
              <w:rPr>
                <w:rFonts w:eastAsia="Arial Unicode MS" w:cs="Times New Roman"/>
                <w:lang w:eastAsia="pl-PL" w:bidi="ar-SA"/>
              </w:rPr>
            </w:pPr>
            <w:r w:rsidRPr="5656B54B" w:rsidR="5ED092CD">
              <w:rPr>
                <w:rFonts w:ascii="Arial" w:hAnsi="Arial" w:eastAsia="Arial Unicode MS" w:cs="Times New Roman"/>
                <w:sz w:val="20"/>
                <w:szCs w:val="20"/>
                <w:lang w:val="en-US" w:eastAsia="pl-PL" w:bidi="ar-SA"/>
              </w:rPr>
              <w:t xml:space="preserve">Zgodnie z przydziałem zajęć </w:t>
            </w:r>
          </w:p>
          <w:p w14:paraId="4656FC5F" wp14:textId="0A45C2CE">
            <w:pPr>
              <w:pStyle w:val="Zawartotabeli"/>
              <w:widowControl w:val="0"/>
              <w:spacing w:before="57" w:after="57"/>
              <w:jc w:val="center"/>
            </w:pPr>
            <w:r w:rsidRPr="5656B54B" w:rsidR="5ED092CD">
              <w:rPr>
                <w:rFonts w:ascii="Arial" w:hAnsi="Arial" w:eastAsia="Arial Unicode MS" w:cs="Times New Roman"/>
                <w:sz w:val="20"/>
                <w:szCs w:val="20"/>
                <w:lang w:val="en-US" w:eastAsia="pl-PL" w:bidi="ar-SA"/>
              </w:rPr>
              <w:t>2025/2026:</w:t>
            </w:r>
          </w:p>
          <w:p w:rsidP="5656B54B" w14:paraId="4327FC2B" wp14:textId="2423CB33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</w:pPr>
            <w:r w:rsidRPr="5656B54B" w:rsidR="349859D0">
              <w:rPr>
                <w:rFonts w:ascii="Arial" w:hAnsi="Arial" w:eastAsia="Arial Unicode MS" w:cs="Times New Roman"/>
                <w:sz w:val="20"/>
                <w:szCs w:val="20"/>
                <w:lang w:val="en-US" w:eastAsia="pl-PL" w:bidi="ar-SA"/>
              </w:rPr>
              <w:t>mgr Weronika Ignas-Madej</w:t>
            </w:r>
          </w:p>
        </w:tc>
      </w:tr>
      <w:tr xmlns:wp14="http://schemas.microsoft.com/office/word/2010/wordml" w:rsidTr="5656B54B" w14:paraId="3656B9AB" wp14:textId="77777777">
        <w:trPr>
          <w:trHeight w:val="292" w:hRule="atLeast"/>
        </w:trPr>
        <w:tc>
          <w:tcPr>
            <w:tcW w:w="3185" w:type="dxa"/>
            <w:tcBorders>
              <w:top w:val="single" w:color="C0C0C0" w:sz="2" w:space="0"/>
              <w:bottom w:val="single" w:color="C0C0C0" w:sz="2" w:space="0"/>
            </w:tcBorders>
            <w:shd w:val="clear" w:color="auto" w:fill="auto"/>
            <w:tcMar/>
            <w:vAlign w:val="center"/>
          </w:tcPr>
          <w:p w14:paraId="45FB081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tcBorders>
              <w:top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14:paraId="049F31C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6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5656B54B" w14:paraId="3A45FB00" wp14:textId="77777777">
        <w:trPr>
          <w:trHeight w:val="225" w:hRule="atLeast"/>
        </w:trPr>
        <w:tc>
          <w:tcPr>
            <w:tcW w:w="318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:rsidP="6DCDFDB1" w14:paraId="5FCD5EC4" wp14:textId="77777777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</w:pPr>
            <w:r w:rsidR="6F7A84ED"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6C0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4101652C" wp14:textId="77777777">
      <w:pPr>
        <w:pStyle w:val="Normal0"/>
        <w:ind w:left="108" w:hanging="108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p xmlns:wp14="http://schemas.microsoft.com/office/word/2010/wordml" w14:paraId="4B99056E" wp14:textId="77777777">
      <w:pPr>
        <w:pStyle w:val="Normal0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p xmlns:wp14="http://schemas.microsoft.com/office/word/2010/wordml" w14:paraId="1299C43A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p xmlns:wp14="http://schemas.microsoft.com/office/word/2010/wordml" w14:paraId="4DDBEF00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p xmlns:wp14="http://schemas.microsoft.com/office/word/2010/wordml" w14:paraId="3461D77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kursu (cele kształcenia)</w:t>
      </w:r>
    </w:p>
    <w:p xmlns:wp14="http://schemas.microsoft.com/office/word/2010/wordml" w14:paraId="3CF2D8B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50"/>
      </w:tblGrid>
      <w:tr xmlns:wp14="http://schemas.microsoft.com/office/word/2010/wordml" w14:paraId="1C37B31D" wp14:textId="77777777">
        <w:trPr>
          <w:trHeight w:val="1225" w:hRule="atLeast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64A3133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rFonts w:ascii="Times New Roman" w:hAnsi="Times New Roman" w:eastAsia="Arial Unicode MS"/>
                <w:kern w:val="0"/>
                <w:lang w:eastAsia="pl-PL" w:bidi="ar-SA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Celem kursu jest zdobycie umiejętności zarządzania procesem przekładu.</w:t>
            </w:r>
          </w:p>
        </w:tc>
      </w:tr>
    </w:tbl>
    <w:p xmlns:wp14="http://schemas.microsoft.com/office/word/2010/wordml" w14:paraId="0FB78278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FC3994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562CB0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A509E2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Efekty uczenia się</w:t>
      </w:r>
    </w:p>
    <w:p xmlns:wp14="http://schemas.microsoft.com/office/word/2010/wordml" w14:paraId="62EBF3C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xmlns:wp14="http://schemas.microsoft.com/office/word/2010/wordml" w:rsidTr="25181C3E" w14:paraId="01356D2C" wp14:textId="77777777"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270A427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6AC0F54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7EB703A9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25181C3E" w14:paraId="07985520" wp14:textId="77777777">
        <w:trPr>
          <w:trHeight w:val="2366" w:hRule="atLeast"/>
        </w:trPr>
        <w:tc>
          <w:tcPr>
            <w:tcW w:w="1979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12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14:paraId="262F74A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W01</w:t>
            </w:r>
          </w:p>
          <w:p w14:paraId="59DB5615" wp14:textId="77777777">
            <w:pPr>
              <w:pStyle w:val="Normal0"/>
              <w:widowControl w:val="0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 xml:space="preserve">Student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ma poszerzoną wiedzę na temat funkcjonowania rynku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pl-PL" w:eastAsia="pl-PL" w:bidi="ar-SA"/>
              </w:rPr>
              <w:t>tł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pt-PT" w:eastAsia="pl-PL" w:bidi="ar-SA"/>
              </w:rPr>
              <w:t>uma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c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zeniowego, zna obowiązujące zasady i dobre praktyki branżowe </w:t>
            </w:r>
          </w:p>
          <w:p w14:paraId="1E475A11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W02,</w:t>
            </w:r>
          </w:p>
          <w:p w14:paraId="3744128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wie na czym polega zarządzanie procesem tłumaczeniowym </w:t>
            </w:r>
          </w:p>
          <w:p w14:paraId="4004A1E4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W03,</w:t>
            </w:r>
          </w:p>
          <w:p w14:paraId="085212D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zna narzędzia i metody zarządzania procesem przekładu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14:paraId="48658B66" wp14:textId="77777777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="6E5CEB61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K1_W01</w:t>
            </w:r>
          </w:p>
          <w:p w:rsidP="25181C3E" w14:paraId="7B6182A4" wp14:textId="7943CC52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 Unicode MS"/>
                <w:sz w:val="20"/>
                <w:szCs w:val="20"/>
                <w:lang w:val="pl-PL" w:eastAsia="pl-PL" w:bidi="ar-SA"/>
              </w:rPr>
            </w:pPr>
            <w:r w:rsidR="6E5CEB61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</w:t>
            </w:r>
          </w:p>
          <w:p w14:paraId="6555FB84" wp14:textId="6543758D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="3F0FF64D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</w:t>
            </w:r>
          </w:p>
          <w:p w:rsidP="25181C3E" w14:paraId="3FF2826A" wp14:textId="7A30FA06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</w:pPr>
            <w:r w:rsidR="4F47DFD3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W04</w:t>
            </w:r>
          </w:p>
        </w:tc>
      </w:tr>
    </w:tbl>
    <w:p xmlns:wp14="http://schemas.microsoft.com/office/word/2010/wordml" w14:paraId="2946DB82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97CC1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10FFD37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69937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1"/>
        <w:gridCol w:w="2424"/>
      </w:tblGrid>
      <w:tr xmlns:wp14="http://schemas.microsoft.com/office/word/2010/wordml" w:rsidTr="25181C3E" w14:paraId="16367538" wp14:textId="77777777"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1A0AA4D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345A98DB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32C87E12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25181C3E" w14:paraId="7B54D6BD" wp14:textId="77777777">
        <w:trPr>
          <w:trHeight w:val="2366" w:hRule="atLeast"/>
        </w:trPr>
        <w:tc>
          <w:tcPr>
            <w:tcW w:w="198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23F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14:paraId="77C90628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U01 </w:t>
            </w:r>
          </w:p>
          <w:p w14:paraId="5BD1BC9E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rozumie potrzebę zarządzania procesem tłumaczeniowym  </w:t>
            </w:r>
          </w:p>
          <w:p w14:paraId="072F28BF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U02,</w:t>
            </w:r>
          </w:p>
          <w:p w14:paraId="36333E18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określić jakie narzędzia i metody należy wykorzystać do zarządzania danym procesem oraz dostosować je do skali i charakteru procesu</w:t>
            </w:r>
          </w:p>
          <w:p w14:paraId="1D567F71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</w:t>
            </w:r>
          </w:p>
          <w:p w14:paraId="03678F2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identyfikować problemy w procesie zarządzania i proponować ich optymalne rozwiązania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P="25181C3E" w14:paraId="6AA36D2C" wp14:textId="5769E201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 Unicode MS"/>
                <w:sz w:val="20"/>
                <w:szCs w:val="20"/>
                <w:lang w:val="pl-PL" w:eastAsia="pl-PL" w:bidi="ar-SA"/>
              </w:rPr>
            </w:pPr>
            <w:r w:rsidR="117A9D25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U01</w:t>
            </w:r>
          </w:p>
          <w:p w14:paraId="796E7679" wp14:textId="04ACDCCD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="7CDE150D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</w:t>
            </w:r>
          </w:p>
          <w:p w14:paraId="3EFDC86C" wp14:textId="2470756F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="73050644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</w:t>
            </w:r>
          </w:p>
          <w:p w:rsidP="25181C3E" w14:paraId="40AFFD99" wp14:textId="155B2471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</w:pPr>
            <w:r w:rsidR="140D00CB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U04</w:t>
            </w:r>
          </w:p>
        </w:tc>
      </w:tr>
    </w:tbl>
    <w:p xmlns:wp14="http://schemas.microsoft.com/office/word/2010/wordml" w14:paraId="1F72F64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8CE6F9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1CDCEA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B9E253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1"/>
        <w:gridCol w:w="2424"/>
      </w:tblGrid>
      <w:tr xmlns:wp14="http://schemas.microsoft.com/office/word/2010/wordml" w:rsidTr="25181C3E" w14:paraId="0023D940" wp14:textId="77777777"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2C1ECD8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339ACAD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2F8C2349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25181C3E" w14:paraId="00BBC561" wp14:textId="77777777">
        <w:trPr>
          <w:trHeight w:val="2839" w:hRule="atLeast"/>
        </w:trPr>
        <w:tc>
          <w:tcPr>
            <w:tcW w:w="198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523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14:paraId="2B5AAE70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K01,</w:t>
            </w:r>
          </w:p>
          <w:p w14:paraId="70FD9E03" wp14:textId="77777777">
            <w:pPr>
              <w:pStyle w:val="Normal0"/>
              <w:widowControl w:val="0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rozumie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wielowymiarowość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roli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en-US" w:eastAsia="pl-PL" w:bidi="ar-SA"/>
              </w:rPr>
              <w:t>tłuma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cz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a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 we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współczesnym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 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społeczeństwie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,</w:t>
            </w:r>
          </w:p>
          <w:p w14:paraId="1850DF5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  <w:p w14:paraId="4F5D005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aktywnie uczestniczyć w zarządzaniu procesem tłumaczeniowym i w ramach tego procesu współpracować z innymi tłumaczami oraz biurami tłumaczeń</w:t>
            </w:r>
          </w:p>
          <w:p w14:paraId="112259CD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K03</w:t>
            </w:r>
          </w:p>
          <w:p w14:paraId="20B0293B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współdziałać z innymi profesjonalistami, w tym z przedstawicielami innych profesji i kultur, którzy mogą być jego klientami lub zleceniodawcami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14:paraId="5C0C86EB" wp14:textId="44907E30">
            <w:pPr>
              <w:pStyle w:val="Normal0"/>
              <w:widowControl w:val="0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 w:rsidR="7858B5B0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</w:t>
            </w:r>
          </w:p>
          <w:p w:rsidP="25181C3E" w14:paraId="337E4E09" wp14:textId="3BEF327E">
            <w:pPr>
              <w:pStyle w:val="Normal0"/>
              <w:widowControl w:val="0"/>
              <w:spacing w:before="0" w:after="0"/>
              <w:jc w:val="left"/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</w:pPr>
            <w:r w:rsidR="6A43E4B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K1_</w:t>
            </w:r>
            <w:r w:rsidR="25181C3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2E5622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547A0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43CB0F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45931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537F28F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606"/>
        <w:gridCol w:w="1220"/>
        <w:gridCol w:w="853"/>
        <w:gridCol w:w="271"/>
        <w:gridCol w:w="860"/>
        <w:gridCol w:w="315"/>
        <w:gridCol w:w="816"/>
        <w:gridCol w:w="288"/>
        <w:gridCol w:w="845"/>
        <w:gridCol w:w="284"/>
        <w:gridCol w:w="849"/>
        <w:gridCol w:w="283"/>
        <w:gridCol w:w="853"/>
        <w:gridCol w:w="288"/>
      </w:tblGrid>
      <w:tr xmlns:wp14="http://schemas.microsoft.com/office/word/2010/wordml" w14:paraId="68A6B712" wp14:textId="77777777">
        <w:trPr>
          <w:trHeight w:val="270" w:hRule="atLeast"/>
        </w:trPr>
        <w:tc>
          <w:tcPr>
            <w:tcW w:w="9631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499" w:hRule="atLeast"/>
        </w:trPr>
        <w:tc>
          <w:tcPr>
            <w:tcW w:w="160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Forma zajęć</w:t>
            </w:r>
          </w:p>
        </w:tc>
        <w:tc>
          <w:tcPr>
            <w:tcW w:w="1220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3" w:hRule="atLeast"/>
        </w:trPr>
        <w:tc>
          <w:tcPr>
            <w:tcW w:w="160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9E2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220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9E5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27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1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2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8610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4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7805D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3F29E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2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7B4B8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345" w:hRule="atLeast"/>
        </w:trPr>
        <w:tc>
          <w:tcPr>
            <w:tcW w:w="160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Liczba godzin</w:t>
            </w:r>
          </w:p>
        </w:tc>
        <w:tc>
          <w:tcPr>
            <w:tcW w:w="12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0FF5F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30AD6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75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82907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9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A226A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3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AD93B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41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E4B5B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6204FF1" wp14:textId="77777777">
        <w:trPr>
          <w:trHeight w:val="308" w:hRule="atLeast"/>
        </w:trPr>
        <w:tc>
          <w:tcPr>
            <w:tcW w:w="160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BF0D7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2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62F1B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F2C34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75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0A4E5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21983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9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6FEF7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3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4DB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41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9D0D3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4CD245A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231BE67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FEB5B0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0D7AA69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metod prowadzenia zajęć</w:t>
      </w:r>
    </w:p>
    <w:p xmlns:wp14="http://schemas.microsoft.com/office/word/2010/wordml" w14:paraId="7196D064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5923514E" wp14:textId="77777777">
        <w:trPr>
          <w:trHeight w:val="1780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56AB6CC7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rFonts w:ascii="Times New Roman" w:hAnsi="Times New Roman" w:eastAsia="Arial Unicode MS"/>
                <w:kern w:val="0"/>
                <w:lang w:eastAsia="pl-PL" w:bidi="ar-SA"/>
              </w:rPr>
            </w:pPr>
            <w:r>
              <w:rPr>
                <w:rFonts w:ascii="Times New Roman" w:hAnsi="Times New Roman" w:eastAsia="Arial Unicode MS"/>
                <w:kern w:val="0"/>
                <w:lang w:val="pl-PL" w:eastAsia="pl-PL" w:bidi="ar-SA"/>
              </w:rPr>
              <w:t>Zajęcia warsztatowe z aktywnym udziałem student</w:t>
            </w:r>
            <w:r>
              <w:rPr>
                <w:rFonts w:ascii="Times New Roman" w:hAnsi="Times New Roman" w:eastAsia="Arial Unicode MS"/>
                <w:kern w:val="0"/>
                <w:lang w:val="es-ES_tradnl" w:eastAsia="pl-PL" w:bidi="ar-SA"/>
              </w:rPr>
              <w:t>ó</w:t>
            </w: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w</w:t>
            </w:r>
            <w:r>
              <w:rPr>
                <w:rFonts w:ascii="Times New Roman" w:hAnsi="Times New Roman" w:eastAsia="Arial Unicode MS"/>
                <w:kern w:val="0"/>
                <w:lang w:val="pl-PL" w:eastAsia="pl-PL" w:bidi="ar-SA"/>
              </w:rPr>
              <w:t>. Praca indywidualna i w grupach, praca z podziałem na role; dyskusja</w:t>
            </w:r>
            <w:r>
              <w:rPr>
                <w:rFonts w:ascii="Times New Roman" w:hAnsi="Times New Roman" w:eastAsia="Arial Unicode MS"/>
                <w:kern w:val="0"/>
                <w:sz w:val="26"/>
                <w:szCs w:val="26"/>
                <w:lang w:val="pl-PL" w:eastAsia="pl-PL" w:bidi="ar-SA"/>
              </w:rPr>
              <w:t>.</w:t>
            </w:r>
          </w:p>
        </w:tc>
      </w:tr>
    </w:tbl>
    <w:p xmlns:wp14="http://schemas.microsoft.com/office/word/2010/wordml" w14:paraId="34FF1C98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072C0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8A21919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Formy sprawdzania efektów uczenia się</w:t>
      </w:r>
    </w:p>
    <w:p xmlns:wp14="http://schemas.microsoft.com/office/word/2010/wordml" w14:paraId="238601FE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1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"/>
        <w:gridCol w:w="664"/>
        <w:gridCol w:w="668"/>
        <w:gridCol w:w="665"/>
        <w:gridCol w:w="667"/>
        <w:gridCol w:w="665"/>
        <w:gridCol w:w="667"/>
        <w:gridCol w:w="666"/>
        <w:gridCol w:w="665"/>
        <w:gridCol w:w="565"/>
        <w:gridCol w:w="768"/>
        <w:gridCol w:w="666"/>
        <w:gridCol w:w="665"/>
        <w:gridCol w:w="676"/>
      </w:tblGrid>
      <w:tr xmlns:wp14="http://schemas.microsoft.com/office/word/2010/wordml" w14:paraId="4D1153E2" wp14:textId="77777777">
        <w:trPr>
          <w:trHeight w:val="1553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F3CABC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79904866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learning</w:t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C8172CC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Gry dydaktyczne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CF9D9E9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Ćwiczenia w szkole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6C251738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Zajęcia terenowe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F7C2B3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2402A3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10D266B5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Projekt grupowy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B3A8CE4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E897B1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Referat</w:t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148EF63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354DF962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Egzamin ustny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5C5CF913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29D7D00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6C6D81B9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B7A0DEA" wp14:textId="77777777">
            <w:pPr>
              <w:pStyle w:val="BalloonText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eastAsia="pl-PL" w:bidi="ar-SA"/>
              </w:rPr>
              <w:t>W01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08B5D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8C9ECA3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DEB4A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D9C6F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B1F511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5F9C3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5E66662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3297084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23141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3BF0DD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F3B140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2C75D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664355A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00EEAC4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A43DEA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7DF4E37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1FBD35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9186DCF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476C52A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42C6D79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6E1831B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3A52682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E324A0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817EA0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0E7EBC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D4A8B87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4269882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AC3086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DFC063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1D6CAC8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8BFD5E1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18A05A5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F4EFEF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DDC956D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A23E69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4CE464C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0C68BAA9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19ED19F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717AAFB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53D1388A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1A3845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D0AC82B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89325E7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916C19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13AB33D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DE7B6B6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1C42B21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2FD3CB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AB39700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3C080D3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42432FA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4B567D3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BEBF70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8D8EA44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428A9B7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1C0157D6" wp14:textId="77777777">
      <w:pPr>
        <w:pStyle w:val="Zawartotabeli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91E7B2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26770CE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CBEED82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E36661F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4"/>
      </w:tblGrid>
      <w:tr xmlns:wp14="http://schemas.microsoft.com/office/word/2010/wordml" w14:paraId="6806F89A" wp14:textId="77777777">
        <w:trPr>
          <w:trHeight w:val="5188" w:hRule="atLeast"/>
        </w:trPr>
        <w:tc>
          <w:tcPr>
            <w:tcW w:w="194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</w:tcPr>
          <w:p w14:paraId="438D2EC0" wp14:textId="77777777">
            <w:pPr>
              <w:pStyle w:val="NormalWeb"/>
              <w:widowControl w:val="false"/>
              <w:spacing w:before="0" w:after="0" w:line="276" w:lineRule="auto"/>
              <w:rPr/>
            </w:pPr>
            <w:r>
              <w:rPr>
                <w:rFonts w:ascii="Arial" w:hAnsi="Arial" w:eastAsia="Arial Unicode MS" w:cs="Arial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</w:t>
            </w:r>
            <w:r>
              <w:rPr>
                <w:rFonts w:ascii="Arial" w:hAnsi="Arial" w:eastAsia="Arial Unicode MS" w:cs="Arial Unicode MS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analiza i udział w dyskusji na temat</w:t>
            </w:r>
            <w:r>
              <w:rPr>
                <w:rFonts w:ascii="Arial" w:hAnsi="Arial" w:eastAsia="Arial Unicode MS" w:cs="Arial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konkretnych problemów pracy tłumacza/przekładowych (stanowi max 50% całości oceny) oraz realizacja projektu tłumaczeniowego, dokonana indywidualnie (lub w parze) i przesłana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38645DC7" wp14:textId="77777777">
      <w:pPr>
        <w:pStyle w:val="Zawartotabeli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35E58C4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9A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C6C2CD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4"/>
      </w:tblGrid>
      <w:tr xmlns:wp14="http://schemas.microsoft.com/office/word/2010/wordml" w14:paraId="6E2CB918" wp14:textId="77777777">
        <w:trPr>
          <w:trHeight w:val="934" w:hRule="atLeast"/>
        </w:trPr>
        <w:tc>
          <w:tcPr>
            <w:tcW w:w="194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0"/>
              <w:widowControl w:val="false"/>
              <w:spacing w:before="0" w:after="57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7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spacing w:before="0" w:after="160" w:line="259" w:lineRule="auto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709E88E4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8C98E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79F8E7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Normal0"/>
        <w:rPr>
          <w:rFonts w:ascii="Arial" w:hAnsi="Arial" w:eastAsia="Arial" w:cs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Treści merytoryczne (wykaz tematów)</w:t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154B13D3" wp14:textId="77777777">
        <w:trPr>
          <w:trHeight w:val="6983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8D6E2CB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Branża tłumaczeniowa i tłumaczeniowy rynek pracy- sytuacja aktualna i perspektywy, formy zatrudnienia</w:t>
            </w:r>
          </w:p>
          <w:p w14:paraId="6B4CB902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Kwalifikacje i kompetencje pożądane w zawodzie tłumacza, podnoszenie swoich kompetencji, w tym również kompetencji pozajęzykowych</w:t>
            </w:r>
          </w:p>
          <w:p w14:paraId="3196BD41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 xml:space="preserve">Umiejętność zarządzania swoim czasem i zasobami w zawodzie tłumacza </w:t>
            </w:r>
          </w:p>
          <w:p w14:paraId="1CF41E17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Umiejętność tworzenia sobie właściwych warunków pracy pozwalających uniknąć przeciążeń psychicznych i fizycznych; ryzyko chorób związanych z wykonywaniem zawodu tłumacza</w:t>
            </w:r>
          </w:p>
          <w:p w14:paraId="189D8FCA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Zarządzanie jakością w tłumaczeniu</w:t>
            </w:r>
          </w:p>
          <w:p w14:paraId="6A575FB9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Negocjowanie warunków pracy i płacy z klientami i pośrednikami</w:t>
            </w:r>
          </w:p>
          <w:p w14:paraId="77F621EA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członek zespołu - umiejętność współpracy i komunikacji z innymi tłumaczami i z osobami odpowiedzialnymi za zarządzanie procesem tłumaczeniowym</w:t>
            </w:r>
          </w:p>
          <w:p w14:paraId="63ABF69C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zleceniobiorca - współpraca z biurami tłumaczeń, wydawnictwami, firmami świadczącymi usługi lokalizacyjne</w:t>
            </w:r>
          </w:p>
          <w:p w14:paraId="46F93213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usługodawca - komunikacja z klientami, umiejętność zrozumienia ich potrzeb i wymagań</w:t>
            </w:r>
          </w:p>
        </w:tc>
      </w:tr>
    </w:tbl>
    <w:p xmlns:wp14="http://schemas.microsoft.com/office/word/2010/wordml" w14:paraId="7818863E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F69B9A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F07D11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1508A3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3D6B1D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7DBC15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6F8BD81B" wp14:textId="77777777">
        <w:trPr>
          <w:trHeight w:val="958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613E9C1" wp14:textId="77777777">
            <w:pPr>
              <w:pStyle w:val="Normal0"/>
              <w:widowControl w:val="false"/>
              <w:spacing w:before="0" w:after="0" w:line="360" w:lineRule="auto"/>
              <w:jc w:val="both"/>
              <w:rPr>
                <w:lang w:val="nl-NL"/>
              </w:rPr>
            </w:pPr>
            <w:r>
              <w:rPr>
                <w:lang w:val="nl-NL"/>
              </w:rPr>
            </w:r>
          </w:p>
        </w:tc>
      </w:tr>
    </w:tbl>
    <w:p xmlns:wp14="http://schemas.microsoft.com/office/word/2010/wordml" w14:paraId="1037B8A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87C6DE0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B2F9378" wp14:textId="77777777">
      <w:pPr>
        <w:pStyle w:val="Normal0"/>
        <w:rPr/>
      </w:pPr>
      <w:r>
        <w:rPr/>
      </w:r>
    </w:p>
    <w:p xmlns:wp14="http://schemas.microsoft.com/office/word/2010/wordml" w14:paraId="59EC7B3D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58E6DD4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2A13AE90" wp14:textId="77777777">
        <w:trPr>
          <w:trHeight w:val="972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391414D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Źródła internetowe.</w:t>
            </w:r>
          </w:p>
          <w:p w14:paraId="6D46B510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Materiały własne prowadzącego.</w:t>
            </w:r>
          </w:p>
        </w:tc>
      </w:tr>
    </w:tbl>
    <w:p xmlns:wp14="http://schemas.microsoft.com/office/word/2010/wordml" w14:paraId="7D3BEE8F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B88899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9E2BB2B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7C0D79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D142F6F" wp14:textId="77777777">
      <w:pPr>
        <w:pStyle w:val="Balloon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CCFC7CA" wp14:textId="77777777">
      <w:pPr>
        <w:pStyle w:val="Balloon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Bilans godzinowy zgodny z CNPS (Całkowity Nakład Pracy Studenta)</w:t>
      </w:r>
    </w:p>
    <w:p xmlns:wp14="http://schemas.microsoft.com/office/word/2010/wordml" w14:paraId="4475AD14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59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766"/>
        <w:gridCol w:w="5746"/>
        <w:gridCol w:w="1080"/>
      </w:tblGrid>
      <w:tr xmlns:wp14="http://schemas.microsoft.com/office/word/2010/wordml" w:rsidTr="452DC729" w14:paraId="67E8A724" wp14:textId="77777777"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0A59AAF4" wp14:textId="77777777">
            <w:pPr>
              <w:pStyle w:val="Normal0"/>
              <w:widowControl w:val="false"/>
              <w:spacing w:before="0" w:after="0" w:line="276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14:paraId="120C4E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452DC729" w14:paraId="6A290288" wp14:textId="77777777">
        <w:trPr>
          <w:trHeight w:val="233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C42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6D29A719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60DA3216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30</w:t>
            </w:r>
          </w:p>
        </w:tc>
      </w:tr>
      <w:tr xmlns:wp14="http://schemas.microsoft.com/office/word/2010/wordml" w:rsidTr="452DC729" w14:paraId="64711803" wp14:textId="77777777">
        <w:trPr>
          <w:trHeight w:val="530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:rsidP="452DC729" w14:paraId="5D369756" wp14:textId="77777777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</w:pPr>
            <w:r w:rsidR="39C04313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5</w:t>
            </w:r>
          </w:p>
        </w:tc>
      </w:tr>
      <w:tr xmlns:wp14="http://schemas.microsoft.com/office/word/2010/wordml" w:rsidTr="452DC729" w14:paraId="7905F624" wp14:textId="77777777">
        <w:trPr>
          <w:trHeight w:val="233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0CFD0B79" wp14:textId="77777777">
            <w:pPr>
              <w:pStyle w:val="Normal0"/>
              <w:widowControl w:val="false"/>
              <w:spacing w:before="0" w:after="0" w:line="276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40086990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446DE71A" wp14:textId="77777777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 w:rsidR="321DA58D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5</w:t>
            </w:r>
          </w:p>
        </w:tc>
      </w:tr>
      <w:tr xmlns:wp14="http://schemas.microsoft.com/office/word/2010/wordml" w:rsidTr="452DC729" w14:paraId="561B59D1" wp14:textId="77777777">
        <w:trPr>
          <w:trHeight w:val="570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2D7D7C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ą przedmiotu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14:paraId="2D3F0BE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452DC729" w14:paraId="55DF11DC" wp14:textId="77777777">
        <w:trPr>
          <w:trHeight w:val="591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E24D7D7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345F9A80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 w:rsidR="6EAF57B1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1</w:t>
            </w:r>
            <w:r w:rsidR="739E0314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0</w:t>
            </w:r>
          </w:p>
        </w:tc>
      </w:tr>
      <w:tr xmlns:wp14="http://schemas.microsoft.com/office/word/2010/wordml" w:rsidTr="452DC729" w14:paraId="4FA96B72" wp14:textId="77777777">
        <w:trPr>
          <w:trHeight w:val="233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48E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774D66D9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Przygotowanie do egzaminu/zaliczenia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72A4FFC0" wp14:textId="75F8C51A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 w:rsidR="7029E04F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1</w:t>
            </w:r>
            <w:r w:rsidR="739E0314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0</w:t>
            </w:r>
          </w:p>
        </w:tc>
      </w:tr>
      <w:tr xmlns:wp14="http://schemas.microsoft.com/office/word/2010/wordml" w:rsidTr="452DC729" w14:paraId="60A185A1" wp14:textId="77777777">
        <w:trPr>
          <w:trHeight w:val="233" w:hRule="atLeast"/>
        </w:trPr>
        <w:tc>
          <w:tcPr>
            <w:tcW w:w="851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Ogółem bilans czasu pracy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AA05B6E" wp14:textId="5EBA25E9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 w:rsidR="31DF6C44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6</w:t>
            </w:r>
            <w:r w:rsidR="739E0314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0</w:t>
            </w:r>
          </w:p>
        </w:tc>
      </w:tr>
      <w:tr xmlns:wp14="http://schemas.microsoft.com/office/word/2010/wordml" w:rsidTr="452DC729" w14:paraId="51F8EEA8" wp14:textId="77777777">
        <w:trPr>
          <w:trHeight w:val="252" w:hRule="atLeast"/>
        </w:trPr>
        <w:tc>
          <w:tcPr>
            <w:tcW w:w="851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:rsidP="6DCDFDB1" w14:paraId="0B778152" wp14:textId="77777777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</w:pPr>
            <w:r w:rsidR="61DDEFC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</w:tr>
    </w:tbl>
    <w:p xmlns:wp14="http://schemas.microsoft.com/office/word/2010/wordml" w14:paraId="0C178E9E" wp14:textId="77777777">
      <w:pPr>
        <w:pStyle w:val="Normal0"/>
        <w:ind w:left="108" w:hanging="108"/>
        <w:rPr/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</w:compat>
  <w:rsids>
    <w:rsidRoot w:val="61DDEFCE"/>
    <w:rsid w:val="117A9D25"/>
    <w:rsid w:val="140D00CB"/>
    <w:rsid w:val="168552A3"/>
    <w:rsid w:val="19D8C3AE"/>
    <w:rsid w:val="25181C3E"/>
    <w:rsid w:val="31DF6C44"/>
    <w:rsid w:val="321DA58D"/>
    <w:rsid w:val="349859D0"/>
    <w:rsid w:val="39C04313"/>
    <w:rsid w:val="3F0FF64D"/>
    <w:rsid w:val="452DC729"/>
    <w:rsid w:val="4F47DFD3"/>
    <w:rsid w:val="5656B54B"/>
    <w:rsid w:val="5ED092CD"/>
    <w:rsid w:val="61DDEFCE"/>
    <w:rsid w:val="6A43E4BE"/>
    <w:rsid w:val="6DCDFDB1"/>
    <w:rsid w:val="6E5CEB61"/>
    <w:rsid w:val="6EAF57B1"/>
    <w:rsid w:val="6F7A84ED"/>
    <w:rsid w:val="7029E04F"/>
    <w:rsid w:val="73050644"/>
    <w:rsid w:val="739E0314"/>
    <w:rsid w:val="7858B5B0"/>
    <w:rsid w:val="7CDE150D"/>
  </w:rsids>
  <w:themeFontLang w:val="" w:eastAsia="" w:bidi=""/>
  <w14:docId w14:val="74BED7B5"/>
  <w15:docId w15:val="{741B6441-E4C1-418F-9E86-84CDF90FC589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0">
    <w:name w:val="Normal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Domylne">
    <w:name w:val="Domyślne"/>
    <w:qFormat/>
    <w:pPr>
      <w:widowControl w:val="false"/>
      <w:suppressAutoHyphens w:val="true"/>
      <w:bidi w:val="0"/>
      <w:spacing w:before="0" w:after="0"/>
      <w:jc w:val="left"/>
    </w:pPr>
    <w:rPr>
      <w:rFonts w:ascii="Helvetica Neue" w:hAnsi="Helvetica Neue" w:eastAsia="NSimSun" w:cs="Arial Unicode MS"/>
      <w:color w:val="000000"/>
      <w:kern w:val="2"/>
      <w:sz w:val="22"/>
      <w:szCs w:val="22"/>
      <w:u w:val="none" w:color="000000"/>
      <w:lang w:val="es-ES_tradnl" w:eastAsia="zh-CN" w:bidi="hi-IN"/>
    </w:rPr>
  </w:style>
  <w:style w:type="paragraph" w:styleId="Zawartotabeli">
    <w:name w:val="Zawartość tabeli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</w:rPr>
  </w:style>
  <w:style w:type="paragraph" w:styleId="BalloonText">
    <w:name w:val="Balloon Text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NSimSun" w:cs="Arial Unicode MS"/>
      <w:color w:val="000000"/>
      <w:kern w:val="2"/>
      <w:sz w:val="16"/>
      <w:szCs w:val="16"/>
      <w:u w:val="none" w:color="000000"/>
      <w:lang w:val="de-DE" w:eastAsia="zh-CN" w:bidi="hi-IN"/>
    </w:rPr>
  </w:style>
  <w:style w:type="paragraph" w:styleId="Body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NSimSun" w:cs="Arial Unicode MS"/>
      <w:color w:val="000000"/>
      <w:kern w:val="2"/>
      <w:sz w:val="22"/>
      <w:szCs w:val="22"/>
      <w:u w:val="none" w:color="000000"/>
      <w:lang w:val="pl-PL" w:eastAsia="zh-CN" w:bidi="hi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qFormat/>
    <w:pPr>
      <w:widowControl w:val="false"/>
      <w:suppressAutoHyphens w:val="true"/>
      <w:bidi w:val="0"/>
      <w:spacing w:before="0" w:after="0"/>
      <w:ind w:left="720" w:hanging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6" /><Relationship Type="http://schemas.openxmlformats.org/officeDocument/2006/relationships/customXml" Target="../customXml/item2.xml" Id="rId5" /><Relationship Type="http://schemas.openxmlformats.org/officeDocument/2006/relationships/customXml" Target="../customXml/item1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66DCC78-4213-48C2-826A-0DF5BACEC36F}"/>
</file>

<file path=customXml/itemProps2.xml><?xml version="1.0" encoding="utf-8"?>
<ds:datastoreItem xmlns:ds="http://schemas.openxmlformats.org/officeDocument/2006/customXml" ds:itemID="{B3041B4F-E7DA-4CE4-9D94-926B61757E3D}"/>
</file>

<file path=customXml/itemProps3.xml><?xml version="1.0" encoding="utf-8"?>
<ds:datastoreItem xmlns:ds="http://schemas.openxmlformats.org/officeDocument/2006/customXml" ds:itemID="{356E47CE-32F9-4DF4-A739-F4D574C9B2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/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dc:description/>
  <lastModifiedBy>Renata Czop</lastModifiedBy>
  <revision>10</revision>
  <dcterms:created xsi:type="dcterms:W3CDTF">2024-11-17T20:55:49.0000000Z</dcterms:created>
  <dcterms:modified xsi:type="dcterms:W3CDTF">2025-11-05T12:46:10.7130285Z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